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GMS: Humanities</w:t>
        <w:tab/>
        <w:tab/>
        <w:tab/>
        <w:tab/>
        <w:tab/>
        <w:tab/>
        <w:tab/>
        <w:t xml:space="preserve">December 1, 2016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b w:val="1"/>
          <w:rtl w:val="0"/>
        </w:rPr>
        <w:t xml:space="preserve">Curriculum Planning Workshop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</w:r>
      <w:r w:rsidDel="00000000" w:rsidR="00000000" w:rsidRPr="00000000">
        <w:rPr>
          <w:rtl w:val="0"/>
        </w:rPr>
        <w:t xml:space="preserve">Defining Our Terms: What is Curriculum?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II. </w:t>
        <w:tab/>
        <w:t xml:space="preserve">The GMS Graduate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III. </w:t>
        <w:tab/>
        <w:t xml:space="preserve">How Do We Know In What Direction to Proceed?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IV. </w:t>
        <w:tab/>
        <w:t xml:space="preserve">How to Construct a Scope and Sequence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  <w:tab/>
      </w:r>
      <w:r w:rsidDel="00000000" w:rsidR="00000000" w:rsidRPr="00000000">
        <w:rPr>
          <w:rtl w:val="0"/>
        </w:rPr>
        <w:t xml:space="preserve">Planning an Individual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be continued….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Curriculum  TS: Color-Symbol-Image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Participants will work individually and then share out full group to identify what they see as the salient aspects of Curriculum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Description of Strategy: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Color-Symbol-Image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Choose a color that you think best represents the essence of that idea person, event, whatever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Create a symbol that you think best represents the essence of that idea, person, event, whatever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Sketch an image that you think best captures the essence of that idea person, event, whatever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Students also have to explain their choices—think-pair-share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Alternative: 3-2-1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 words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metaphor/simile/analogy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Alternative: Compass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Post headings around the room--Excitement, Worry, Needs, Supports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teachers fill out to generate conversation around the topic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II: The GMS Graduate TS: Pair-Share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Look at UbD Blank Template (p. 3 below)--How Do These Work Together?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III: From Goals to Concrete, Measurable Objectives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Consider the following questions: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would you consider your core units you teach during the school year?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your favorite unit to teach during the school year?  Why?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your most problematic unit to teach during the school year?  Why?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would break your heart if your students walked out of your class in June not knowing, understanding, being able to do?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  <w:t xml:space="preserve">Take your responses to these questions and fill out the KDU Chart (p. 4 below)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  <w:t xml:space="preserve">IV: How to Construct a Scope and Sequence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  <w:t xml:space="preserve">Make the Vertical Horizontal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  <w:t xml:space="preserve">Using your responses on the KDU Chart, begin to map out the year.</w:t>
      </w:r>
    </w:p>
    <w:p w:rsidR="00000000" w:rsidDel="00000000" w:rsidP="00000000" w:rsidRDefault="00000000" w:rsidRPr="00000000">
      <w:pPr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  <w:t xml:space="preserve">META QUESTION: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left"/>
      </w:pPr>
      <w:r w:rsidDel="00000000" w:rsidR="00000000" w:rsidRPr="00000000">
        <w:rPr>
          <w:rtl w:val="0"/>
        </w:rPr>
        <w:t xml:space="preserve">Which should you fill out first--the Know, the Do, the Understand?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  <w:t xml:space="preserve">V: Planning an Individual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76835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SUPPORTING MATERIALS FOR WORKSHOP</w:t>
      </w:r>
    </w:p>
    <w:tbl>
      <w:tblPr>
        <w:tblStyle w:val="Table1"/>
        <w:bidiVisual w:val="0"/>
        <w:tblW w:w="96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5"/>
        <w:gridCol w:w="2865"/>
        <w:gridCol w:w="3990"/>
        <w:tblGridChange w:id="0">
          <w:tblGrid>
            <w:gridCol w:w="2835"/>
            <w:gridCol w:w="2865"/>
            <w:gridCol w:w="39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9900ff"/>
                <w:sz w:val="34"/>
                <w:szCs w:val="34"/>
                <w:rtl w:val="0"/>
              </w:rPr>
              <w:t xml:space="preserve">KNOW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9900"/>
                <w:sz w:val="23"/>
                <w:szCs w:val="23"/>
                <w:rtl w:val="0"/>
              </w:rPr>
              <w:t xml:space="preserve">WHAT DOES JUNE LOOK LIKE??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sz w:val="34"/>
                <w:szCs w:val="34"/>
                <w:rtl w:val="0"/>
              </w:rPr>
              <w:t xml:space="preserve">DO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sz w:val="30"/>
                <w:szCs w:val="30"/>
                <w:rtl w:val="0"/>
              </w:rPr>
              <w:t xml:space="preserve">UNDERSTAND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28.8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28.8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eader" Target="header1.xml"/></Relationships>
</file>