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7C83" w:rsidRDefault="00EF1701">
      <w:pPr>
        <w:pStyle w:val="normal0"/>
      </w:pPr>
      <w:r>
        <w:rPr>
          <w:sz w:val="24"/>
          <w:szCs w:val="24"/>
        </w:rPr>
        <w:t>Cardinal Spellman 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December 15 </w:t>
      </w: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THE QUESTION’S THE THING</w:t>
      </w: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t>Part I: Questions and Self Reflection</w:t>
      </w:r>
    </w:p>
    <w:p w:rsidR="00677C83" w:rsidRDefault="00EF1701">
      <w:pPr>
        <w:pStyle w:val="normal0"/>
      </w:pPr>
      <w:r>
        <w:t>Part II: Different Question Models</w:t>
      </w:r>
    </w:p>
    <w:p w:rsidR="00677C83" w:rsidRDefault="00EF1701">
      <w:pPr>
        <w:pStyle w:val="normal0"/>
      </w:pPr>
      <w:r>
        <w:t>Part III: Essential Questions and Understanding by Design</w:t>
      </w: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t>Again, everything for this workshop can be found at</w:t>
      </w:r>
      <w:r>
        <w:t xml:space="preserve"> your school’s page on my website:</w:t>
      </w:r>
    </w:p>
    <w:p w:rsidR="00677C83" w:rsidRDefault="00677C83">
      <w:pPr>
        <w:pStyle w:val="normal0"/>
      </w:pPr>
      <w:hyperlink r:id="rId5">
        <w:r w:rsidR="00EF1701">
          <w:rPr>
            <w:color w:val="1155CC"/>
            <w:u w:val="single"/>
          </w:rPr>
          <w:t>http://mattersofeducation.org/workshop_materials/spellman/</w:t>
        </w:r>
      </w:hyperlink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t>Password: brockton</w:t>
      </w: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t>[nb: materials from prior workshop have been archived]</w:t>
      </w: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t>AND NO EVALUATION, JUST A 3 QUESTION EXIT TICKET (you’re welcome…), located on the website, under Links to Resources</w:t>
      </w: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rPr>
          <w:b/>
        </w:rPr>
        <w:t>Part I: Questions and Self Reflection</w:t>
      </w:r>
    </w:p>
    <w:p w:rsidR="00677C83" w:rsidRDefault="00EF1701">
      <w:pPr>
        <w:pStyle w:val="normal0"/>
        <w:numPr>
          <w:ilvl w:val="0"/>
          <w:numId w:val="11"/>
        </w:numPr>
        <w:ind w:hanging="360"/>
        <w:contextualSpacing/>
      </w:pPr>
      <w:r>
        <w:t>As you watch this teacher, please note</w:t>
      </w:r>
    </w:p>
    <w:p w:rsidR="00677C83" w:rsidRDefault="00EF1701">
      <w:pPr>
        <w:pStyle w:val="normal0"/>
        <w:ind w:firstLine="720"/>
      </w:pPr>
      <w:r>
        <w:t xml:space="preserve">What questions does she ask and </w:t>
      </w:r>
    </w:p>
    <w:p w:rsidR="00677C83" w:rsidRDefault="00EF1701">
      <w:pPr>
        <w:pStyle w:val="normal0"/>
        <w:numPr>
          <w:ilvl w:val="0"/>
          <w:numId w:val="5"/>
        </w:numPr>
        <w:ind w:hanging="360"/>
        <w:contextualSpacing/>
      </w:pPr>
      <w:r>
        <w:t>What is the objective of this lesson?</w:t>
      </w:r>
    </w:p>
    <w:p w:rsidR="00677C83" w:rsidRDefault="00EF1701">
      <w:pPr>
        <w:pStyle w:val="normal0"/>
        <w:numPr>
          <w:ilvl w:val="0"/>
          <w:numId w:val="5"/>
        </w:numPr>
        <w:ind w:hanging="360"/>
        <w:contextualSpacing/>
      </w:pPr>
      <w:r>
        <w:t>what do you conclude about her as a teacher from these questions</w:t>
      </w:r>
    </w:p>
    <w:p w:rsidR="00677C83" w:rsidRDefault="00EF1701">
      <w:pPr>
        <w:pStyle w:val="normal0"/>
        <w:numPr>
          <w:ilvl w:val="0"/>
          <w:numId w:val="5"/>
        </w:numPr>
        <w:ind w:hanging="360"/>
        <w:contextualSpacing/>
      </w:pPr>
      <w:r>
        <w:t>what message does she convey to her students by these questions</w:t>
      </w: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t xml:space="preserve">B. </w:t>
      </w:r>
      <w:r>
        <w:rPr>
          <w:i/>
        </w:rPr>
        <w:t>How did we get here</w:t>
      </w:r>
      <w:r>
        <w:t>?</w:t>
      </w:r>
    </w:p>
    <w:p w:rsidR="00677C83" w:rsidRDefault="00EF1701">
      <w:pPr>
        <w:pStyle w:val="normal0"/>
        <w:numPr>
          <w:ilvl w:val="0"/>
          <w:numId w:val="8"/>
        </w:numPr>
        <w:ind w:hanging="360"/>
        <w:contextualSpacing/>
      </w:pPr>
      <w:r>
        <w:t>What was my objective (short term)</w:t>
      </w:r>
    </w:p>
    <w:p w:rsidR="00677C83" w:rsidRDefault="00EF1701">
      <w:pPr>
        <w:pStyle w:val="normal0"/>
        <w:numPr>
          <w:ilvl w:val="0"/>
          <w:numId w:val="8"/>
        </w:numPr>
        <w:ind w:hanging="360"/>
        <w:contextualSpacing/>
      </w:pPr>
      <w:r>
        <w:t>What were my long term goals?</w:t>
      </w:r>
    </w:p>
    <w:p w:rsidR="00677C83" w:rsidRDefault="00EF1701">
      <w:pPr>
        <w:pStyle w:val="normal0"/>
        <w:numPr>
          <w:ilvl w:val="0"/>
          <w:numId w:val="8"/>
        </w:numPr>
        <w:ind w:hanging="360"/>
        <w:contextualSpacing/>
      </w:pPr>
      <w:r>
        <w:t>What might one conclude about me as a teacher based on this question?</w:t>
      </w: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t>C. Now it’s YOUR turn. (Learning Strategy: Pair-Share)</w:t>
      </w:r>
    </w:p>
    <w:p w:rsidR="00677C83" w:rsidRDefault="00EF1701">
      <w:pPr>
        <w:pStyle w:val="normal0"/>
        <w:numPr>
          <w:ilvl w:val="0"/>
          <w:numId w:val="3"/>
        </w:numPr>
        <w:ind w:hanging="360"/>
        <w:contextualSpacing/>
      </w:pPr>
      <w:r>
        <w:t xml:space="preserve">identify a question that you ask frequently.  </w:t>
      </w:r>
    </w:p>
    <w:p w:rsidR="00677C83" w:rsidRDefault="00EF1701">
      <w:pPr>
        <w:pStyle w:val="normal0"/>
        <w:numPr>
          <w:ilvl w:val="0"/>
          <w:numId w:val="3"/>
        </w:numPr>
        <w:ind w:hanging="360"/>
        <w:contextualSpacing/>
      </w:pPr>
      <w:r>
        <w:t xml:space="preserve">Share it with a partner.  </w:t>
      </w:r>
    </w:p>
    <w:p w:rsidR="00677C83" w:rsidRDefault="00EF1701">
      <w:pPr>
        <w:pStyle w:val="normal0"/>
        <w:numPr>
          <w:ilvl w:val="0"/>
          <w:numId w:val="3"/>
        </w:numPr>
        <w:ind w:hanging="360"/>
        <w:contextualSpacing/>
      </w:pPr>
      <w:r>
        <w:t>As you do so, please consider</w:t>
      </w:r>
    </w:p>
    <w:p w:rsidR="00677C83" w:rsidRDefault="00EF1701">
      <w:pPr>
        <w:pStyle w:val="normal0"/>
        <w:numPr>
          <w:ilvl w:val="0"/>
          <w:numId w:val="9"/>
        </w:numPr>
        <w:ind w:hanging="360"/>
        <w:contextualSpacing/>
      </w:pPr>
      <w:r>
        <w:t>your short term objective</w:t>
      </w:r>
      <w:r>
        <w:t>s</w:t>
      </w:r>
    </w:p>
    <w:p w:rsidR="00677C83" w:rsidRDefault="00EF1701">
      <w:pPr>
        <w:pStyle w:val="normal0"/>
        <w:numPr>
          <w:ilvl w:val="0"/>
          <w:numId w:val="9"/>
        </w:numPr>
        <w:ind w:hanging="360"/>
        <w:contextualSpacing/>
      </w:pPr>
      <w:r>
        <w:t>your long term goals</w:t>
      </w:r>
    </w:p>
    <w:p w:rsidR="00677C83" w:rsidRDefault="00EF1701">
      <w:pPr>
        <w:pStyle w:val="normal0"/>
        <w:numPr>
          <w:ilvl w:val="0"/>
          <w:numId w:val="9"/>
        </w:numPr>
        <w:ind w:hanging="360"/>
        <w:contextualSpacing/>
      </w:pPr>
      <w:r>
        <w:t>what someone might conclude about you as a teacher based on this question</w:t>
      </w: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rPr>
          <w:b/>
        </w:rPr>
        <w:t>Part II: Different Question Models</w:t>
      </w:r>
    </w:p>
    <w:p w:rsidR="00677C83" w:rsidRDefault="00EF1701">
      <w:pPr>
        <w:pStyle w:val="normal0"/>
        <w:numPr>
          <w:ilvl w:val="0"/>
          <w:numId w:val="2"/>
        </w:numPr>
        <w:ind w:hanging="360"/>
        <w:contextualSpacing/>
      </w:pPr>
      <w:r>
        <w:t xml:space="preserve"> Integrative</w:t>
      </w:r>
    </w:p>
    <w:p w:rsidR="00677C83" w:rsidRDefault="00677C83">
      <w:pPr>
        <w:pStyle w:val="normal0"/>
      </w:pPr>
    </w:p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677C8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83" w:rsidRDefault="00EF1701">
            <w:pPr>
              <w:pStyle w:val="normal0"/>
              <w:widowControl w:val="0"/>
              <w:contextualSpacing w:val="0"/>
            </w:pPr>
            <w:r>
              <w:rPr>
                <w:b/>
              </w:rPr>
              <w:t>TEXT DEPENDENT</w:t>
            </w:r>
          </w:p>
          <w:p w:rsidR="00677C83" w:rsidRDefault="00EF1701">
            <w:pPr>
              <w:pStyle w:val="normal0"/>
              <w:widowControl w:val="0"/>
              <w:contextualSpacing w:val="0"/>
            </w:pPr>
            <w:r>
              <w:t>Question can be answered using everything ‘in front of you’—the book, the problem, the experiment…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83" w:rsidRDefault="00EF1701">
            <w:pPr>
              <w:pStyle w:val="normal0"/>
              <w:widowControl w:val="0"/>
              <w:contextualSpacing w:val="0"/>
            </w:pPr>
            <w:r>
              <w:rPr>
                <w:b/>
              </w:rPr>
              <w:t>TEXT EXTENDER</w:t>
            </w:r>
          </w:p>
          <w:p w:rsidR="00677C83" w:rsidRDefault="00EF1701">
            <w:pPr>
              <w:pStyle w:val="normal0"/>
              <w:widowControl w:val="0"/>
              <w:contextualSpacing w:val="0"/>
            </w:pPr>
            <w:r>
              <w:t>One hand on the text, the other reaching out</w:t>
            </w:r>
          </w:p>
        </w:tc>
      </w:tr>
      <w:tr w:rsidR="00677C8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83" w:rsidRDefault="00EF1701">
            <w:pPr>
              <w:pStyle w:val="normal0"/>
              <w:widowControl w:val="0"/>
              <w:contextualSpacing w:val="0"/>
            </w:pPr>
            <w:r>
              <w:rPr>
                <w:b/>
              </w:rPr>
              <w:t>ANALYTIC</w:t>
            </w:r>
          </w:p>
          <w:p w:rsidR="00677C83" w:rsidRDefault="00EF1701">
            <w:pPr>
              <w:pStyle w:val="normal0"/>
              <w:widowControl w:val="0"/>
              <w:contextualSpacing w:val="0"/>
            </w:pPr>
            <w:r>
              <w:t>Brings together several pieces—but posed BY THE TEACHER…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83" w:rsidRDefault="00EF1701">
            <w:pPr>
              <w:pStyle w:val="normal0"/>
              <w:widowControl w:val="0"/>
              <w:contextualSpacing w:val="0"/>
            </w:pPr>
            <w:r>
              <w:rPr>
                <w:b/>
              </w:rPr>
              <w:t>CREATIVE</w:t>
            </w:r>
          </w:p>
          <w:p w:rsidR="00677C83" w:rsidRDefault="00EF1701">
            <w:pPr>
              <w:pStyle w:val="normal0"/>
              <w:widowControl w:val="0"/>
              <w:contextualSpacing w:val="0"/>
            </w:pPr>
            <w:r>
              <w:t>Also brings together s</w:t>
            </w:r>
            <w:r>
              <w:t>everal pieces, but generated BY THE STUDENT and demonstrates internalization of the concepts/ideas taught</w:t>
            </w:r>
          </w:p>
        </w:tc>
      </w:tr>
    </w:tbl>
    <w:p w:rsidR="00677C83" w:rsidRDefault="00677C83">
      <w:pPr>
        <w:pStyle w:val="normal0"/>
      </w:pPr>
    </w:p>
    <w:p w:rsidR="00677C83" w:rsidRDefault="00EF1701">
      <w:pPr>
        <w:pStyle w:val="normal0"/>
      </w:pPr>
      <w:r>
        <w:t>KEY POINTS:</w:t>
      </w:r>
    </w:p>
    <w:p w:rsidR="00677C83" w:rsidRDefault="00EF1701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Not necessarily a progression</w:t>
      </w:r>
    </w:p>
    <w:p w:rsidR="00677C83" w:rsidRDefault="00EF1701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Often dependent on one another</w:t>
      </w:r>
    </w:p>
    <w:p w:rsidR="00677C83" w:rsidRDefault="00EF1701">
      <w:pPr>
        <w:pStyle w:val="normal0"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t>Big Goal: Student Interaction, Cooperative Learning, C</w:t>
      </w:r>
      <w:r>
        <w:t>hecks for Understanding</w:t>
      </w:r>
    </w:p>
    <w:p w:rsidR="00677C83" w:rsidRDefault="00677C83">
      <w:pPr>
        <w:pStyle w:val="normal0"/>
      </w:pPr>
    </w:p>
    <w:p w:rsidR="00677C83" w:rsidRDefault="00EF1701">
      <w:pPr>
        <w:pStyle w:val="normal0"/>
        <w:numPr>
          <w:ilvl w:val="0"/>
          <w:numId w:val="1"/>
        </w:numPr>
        <w:ind w:hanging="360"/>
        <w:contextualSpacing/>
      </w:pPr>
      <w:r>
        <w:t>Some Examples</w:t>
      </w:r>
    </w:p>
    <w:p w:rsidR="00677C83" w:rsidRDefault="00677C83">
      <w:pPr>
        <w:pStyle w:val="normal0"/>
      </w:pPr>
    </w:p>
    <w:p w:rsidR="00677C83" w:rsidRDefault="00EF1701">
      <w:pPr>
        <w:pStyle w:val="normal0"/>
        <w:numPr>
          <w:ilvl w:val="0"/>
          <w:numId w:val="1"/>
        </w:numPr>
        <w:ind w:hanging="360"/>
        <w:contextualSpacing/>
      </w:pPr>
      <w:r>
        <w:t>Try with texts they have brought</w:t>
      </w: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t>B. RAFT Question Model</w:t>
      </w:r>
    </w:p>
    <w:p w:rsidR="00677C83" w:rsidRDefault="00EF1701">
      <w:pPr>
        <w:pStyle w:val="normal0"/>
      </w:pPr>
      <w:r>
        <w:rPr>
          <w:i/>
        </w:rPr>
        <w:t>The Exodus from Egypt</w:t>
      </w:r>
    </w:p>
    <w:p w:rsidR="00677C83" w:rsidRDefault="00677C83">
      <w:pPr>
        <w:pStyle w:val="normal0"/>
      </w:pPr>
    </w:p>
    <w:tbl>
      <w:tblPr>
        <w:tblStyle w:val="a0"/>
        <w:tblW w:w="936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677C83"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ROLE</w:t>
            </w:r>
          </w:p>
        </w:tc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AUDIENCE</w:t>
            </w:r>
          </w:p>
        </w:tc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FORMAT</w:t>
            </w:r>
          </w:p>
        </w:tc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TOPIC</w:t>
            </w:r>
          </w:p>
        </w:tc>
      </w:tr>
      <w:tr w:rsidR="00677C83"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Pharoah</w:t>
            </w:r>
          </w:p>
        </w:tc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Egyptian Soldiers</w:t>
            </w:r>
          </w:p>
        </w:tc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Newspaper Article</w:t>
            </w:r>
          </w:p>
        </w:tc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Burning Bush</w:t>
            </w:r>
          </w:p>
        </w:tc>
      </w:tr>
      <w:tr w:rsidR="00677C83"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Moses</w:t>
            </w:r>
          </w:p>
        </w:tc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Freed slaves</w:t>
            </w:r>
          </w:p>
        </w:tc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Diary</w:t>
            </w:r>
          </w:p>
        </w:tc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Plagues</w:t>
            </w:r>
          </w:p>
        </w:tc>
      </w:tr>
      <w:tr w:rsidR="00677C83"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 xml:space="preserve">Hebrew Slave </w:t>
            </w:r>
          </w:p>
        </w:tc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Aaron</w:t>
            </w:r>
          </w:p>
        </w:tc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Podcast</w:t>
            </w:r>
          </w:p>
        </w:tc>
        <w:tc>
          <w:tcPr>
            <w:tcW w:w="2340" w:type="dxa"/>
          </w:tcPr>
          <w:p w:rsidR="00677C83" w:rsidRDefault="00EF1701">
            <w:pPr>
              <w:pStyle w:val="normal0"/>
              <w:spacing w:line="276" w:lineRule="auto"/>
            </w:pPr>
            <w:r>
              <w:t>Parting of the Red Sea</w:t>
            </w:r>
          </w:p>
        </w:tc>
      </w:tr>
    </w:tbl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t>Try this on a topic you teach.</w:t>
      </w: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t>C. Numbered Heads Together</w:t>
      </w:r>
    </w:p>
    <w:p w:rsidR="00677C83" w:rsidRDefault="00EF1701">
      <w:pPr>
        <w:pStyle w:val="normal0"/>
      </w:pPr>
      <w:r>
        <w:rPr>
          <w:highlight w:val="white"/>
        </w:rPr>
        <w:t xml:space="preserve">Numbered Heads Together is a </w:t>
      </w:r>
      <w:hyperlink r:id="rId6">
        <w:r>
          <w:rPr>
            <w:highlight w:val="white"/>
          </w:rPr>
          <w:t>cooperative learning</w:t>
        </w:r>
      </w:hyperlink>
      <w:r>
        <w:rPr>
          <w:highlight w:val="white"/>
        </w:rPr>
        <w:t xml:space="preserve"> strate</w:t>
      </w:r>
      <w:r>
        <w:rPr>
          <w:highlight w:val="white"/>
        </w:rPr>
        <w:t>gy that holds each student accountable for learning the material. Students are placed in groups and each person is given a number (from one to the maximum number in each group). The teacher poses a question and students "put their heads together" to figure</w:t>
      </w:r>
      <w:r>
        <w:rPr>
          <w:highlight w:val="white"/>
        </w:rPr>
        <w:t xml:space="preserve"> out the answer. Alternatively, the students may write the questions as well. The teacher calls a specific number to respond as spokesperson for the group. By having students work together in a group, this strategy ensures that each member knows the answer</w:t>
      </w:r>
      <w:r>
        <w:rPr>
          <w:highlight w:val="white"/>
        </w:rPr>
        <w:t xml:space="preserve"> to problems or questions asked by the teacher. Because no one knows which number will be called, all team members must be prepared.</w:t>
      </w:r>
    </w:p>
    <w:p w:rsidR="00677C83" w:rsidRDefault="00EF1701">
      <w:pPr>
        <w:pStyle w:val="normal0"/>
      </w:pPr>
      <w:r>
        <w:t xml:space="preserve"> </w:t>
      </w:r>
    </w:p>
    <w:p w:rsidR="00677C83" w:rsidRDefault="00EF1701">
      <w:pPr>
        <w:pStyle w:val="normal0"/>
        <w:numPr>
          <w:ilvl w:val="0"/>
          <w:numId w:val="10"/>
        </w:numPr>
        <w:ind w:hanging="360"/>
        <w:contextualSpacing/>
      </w:pPr>
      <w:r>
        <w:t>Please use the following document (MA Population and Election Graph, 1790-2010)</w:t>
      </w:r>
    </w:p>
    <w:p w:rsidR="00677C83" w:rsidRDefault="00EF1701">
      <w:pPr>
        <w:pStyle w:val="normal0"/>
        <w:ind w:firstLine="720"/>
      </w:pPr>
      <w:r>
        <w:t xml:space="preserve">and write </w:t>
      </w:r>
    </w:p>
    <w:p w:rsidR="00677C83" w:rsidRDefault="00EF1701">
      <w:pPr>
        <w:pStyle w:val="normal0"/>
        <w:numPr>
          <w:ilvl w:val="0"/>
          <w:numId w:val="6"/>
        </w:numPr>
        <w:ind w:hanging="360"/>
        <w:contextualSpacing/>
      </w:pPr>
      <w:r>
        <w:t>one text dependent question</w:t>
      </w:r>
    </w:p>
    <w:p w:rsidR="00677C83" w:rsidRDefault="00EF1701">
      <w:pPr>
        <w:pStyle w:val="normal0"/>
        <w:numPr>
          <w:ilvl w:val="0"/>
          <w:numId w:val="6"/>
        </w:numPr>
        <w:ind w:hanging="360"/>
        <w:contextualSpacing/>
      </w:pPr>
      <w:r>
        <w:t>on</w:t>
      </w:r>
      <w:r>
        <w:t>e text extender question</w:t>
      </w:r>
    </w:p>
    <w:p w:rsidR="00677C83" w:rsidRDefault="00EF1701">
      <w:pPr>
        <w:pStyle w:val="normal0"/>
        <w:numPr>
          <w:ilvl w:val="0"/>
          <w:numId w:val="6"/>
        </w:numPr>
        <w:ind w:hanging="360"/>
        <w:contextualSpacing/>
      </w:pPr>
      <w:r>
        <w:t>one creative/analytic question</w:t>
      </w: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t>2. As I use your questions, you must arrive at a group answer and be sure that every member of the group is able to answer the question.</w:t>
      </w: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t>3. How might you use this with your students? Try on the text</w:t>
      </w:r>
      <w:r>
        <w:t xml:space="preserve"> you have brought.</w:t>
      </w: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t>D. “Patient Problem Solving”: Dan Meyer</w:t>
      </w:r>
    </w:p>
    <w:p w:rsidR="00677C83" w:rsidRDefault="00EF1701">
      <w:pPr>
        <w:pStyle w:val="normal0"/>
        <w:numPr>
          <w:ilvl w:val="0"/>
          <w:numId w:val="4"/>
        </w:numPr>
        <w:ind w:hanging="360"/>
        <w:contextualSpacing/>
      </w:pPr>
      <w:r>
        <w:t>As you watch the following video, consider the way we usually ask students questions in Math.</w:t>
      </w:r>
    </w:p>
    <w:p w:rsidR="00677C83" w:rsidRDefault="00EF1701">
      <w:pPr>
        <w:pStyle w:val="normal0"/>
        <w:numPr>
          <w:ilvl w:val="0"/>
          <w:numId w:val="4"/>
        </w:numPr>
        <w:ind w:hanging="360"/>
        <w:contextualSpacing/>
      </w:pPr>
      <w:r>
        <w:t>What is the speaker’s critique of this process?</w:t>
      </w:r>
    </w:p>
    <w:p w:rsidR="00677C83" w:rsidRDefault="00EF1701">
      <w:pPr>
        <w:pStyle w:val="normal0"/>
        <w:numPr>
          <w:ilvl w:val="0"/>
          <w:numId w:val="4"/>
        </w:numPr>
        <w:ind w:hanging="360"/>
        <w:contextualSpacing/>
      </w:pPr>
      <w:r>
        <w:t>What does Impatient Problem Solving look like in your</w:t>
      </w:r>
      <w:r>
        <w:t xml:space="preserve"> discipline (even if you don’t engage in it)?</w:t>
      </w:r>
    </w:p>
    <w:p w:rsidR="00677C83" w:rsidRDefault="00EF1701">
      <w:pPr>
        <w:pStyle w:val="normal0"/>
        <w:numPr>
          <w:ilvl w:val="0"/>
          <w:numId w:val="4"/>
        </w:numPr>
        <w:ind w:hanging="360"/>
        <w:contextualSpacing/>
      </w:pPr>
      <w:r>
        <w:t>How can you set up Patient Problem Solving for your Students?</w:t>
      </w: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EF1701">
      <w:pPr>
        <w:pStyle w:val="normal0"/>
      </w:pPr>
      <w:r>
        <w:rPr>
          <w:b/>
        </w:rPr>
        <w:t>Part III: Essential Questions and Understanding by Design</w:t>
      </w:r>
    </w:p>
    <w:p w:rsidR="00677C83" w:rsidRDefault="00EF1701">
      <w:pPr>
        <w:pStyle w:val="normal0"/>
        <w:numPr>
          <w:ilvl w:val="0"/>
          <w:numId w:val="7"/>
        </w:numPr>
        <w:ind w:hanging="360"/>
        <w:contextualSpacing/>
      </w:pPr>
      <w:r>
        <w:t>What is Understanding by Design?</w:t>
      </w:r>
    </w:p>
    <w:p w:rsidR="00677C83" w:rsidRDefault="00EF1701">
      <w:pPr>
        <w:pStyle w:val="normal0"/>
      </w:pPr>
      <w:r>
        <w:tab/>
        <w:t>Learning Strategy: See-Think-Wonder</w:t>
      </w:r>
    </w:p>
    <w:p w:rsidR="00677C83" w:rsidRDefault="00EF1701">
      <w:pPr>
        <w:pStyle w:val="normal0"/>
        <w:numPr>
          <w:ilvl w:val="0"/>
          <w:numId w:val="7"/>
        </w:numPr>
        <w:ind w:hanging="360"/>
        <w:contextualSpacing/>
      </w:pPr>
      <w:r>
        <w:t>What Are Essential Questions?</w:t>
      </w:r>
    </w:p>
    <w:p w:rsidR="00677C83" w:rsidRDefault="00EF1701">
      <w:pPr>
        <w:pStyle w:val="normal0"/>
        <w:numPr>
          <w:ilvl w:val="0"/>
          <w:numId w:val="7"/>
        </w:numPr>
        <w:ind w:hanging="360"/>
        <w:contextualSpacing/>
      </w:pPr>
      <w:r>
        <w:t>How do the Pieces Fit Together?</w:t>
      </w:r>
    </w:p>
    <w:p w:rsidR="00677C83" w:rsidRDefault="00EF1701">
      <w:pPr>
        <w:pStyle w:val="normal0"/>
        <w:numPr>
          <w:ilvl w:val="0"/>
          <w:numId w:val="7"/>
        </w:numPr>
        <w:ind w:hanging="360"/>
        <w:contextualSpacing/>
      </w:pPr>
      <w:r>
        <w:t>Stages of Curriculum Development</w:t>
      </w: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p w:rsidR="00677C83" w:rsidRDefault="00677C83">
      <w:pPr>
        <w:pStyle w:val="normal0"/>
      </w:pPr>
    </w:p>
    <w:sectPr w:rsidR="00677C83" w:rsidSect="00677C83">
      <w:headerReference w:type="default" r:id="rId7"/>
      <w:footerReference w:type="default" r:id="rId8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83" w:rsidRDefault="00EF1701">
    <w:pPr>
      <w:pStyle w:val="normal0"/>
    </w:pPr>
    <w:r>
      <w:rPr>
        <w:sz w:val="18"/>
        <w:szCs w:val="18"/>
      </w:rPr>
      <w:t xml:space="preserve">Teachers21        </w:t>
    </w:r>
    <w:hyperlink r:id="rId1">
      <w:r>
        <w:rPr>
          <w:color w:val="1155CC"/>
          <w:sz w:val="18"/>
          <w:szCs w:val="18"/>
          <w:u w:val="single"/>
        </w:rPr>
        <w:t>www.teachers21.org</w:t>
      </w:r>
    </w:hyperlink>
    <w:r>
      <w:rPr>
        <w:sz w:val="18"/>
        <w:szCs w:val="18"/>
      </w:rPr>
      <w:t xml:space="preserve">    1 Wells Avenue   Suite 402 Newton, MA 02459               781-416</w:t>
    </w:r>
    <w:r>
      <w:rPr>
        <w:sz w:val="18"/>
        <w:szCs w:val="18"/>
      </w:rPr>
      <w:t>-0980</w:t>
    </w:r>
  </w:p>
  <w:p w:rsidR="00677C83" w:rsidRDefault="00677C83">
    <w:pPr>
      <w:pStyle w:val="normal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83" w:rsidRDefault="00677C83">
    <w:pPr>
      <w:pStyle w:val="normal0"/>
      <w:ind w:left="8640" w:firstLine="720"/>
    </w:pPr>
    <w:fldSimple w:instr="PAGE">
      <w:r w:rsidR="00EF1701">
        <w:rPr>
          <w:noProof/>
        </w:rPr>
        <w:t>1</w:t>
      </w:r>
    </w:fldSimple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0E0"/>
    <w:multiLevelType w:val="multilevel"/>
    <w:tmpl w:val="38D6D1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8FC288E"/>
    <w:multiLevelType w:val="multilevel"/>
    <w:tmpl w:val="FB0EE6B4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">
    <w:nsid w:val="1911489B"/>
    <w:multiLevelType w:val="multilevel"/>
    <w:tmpl w:val="3156F61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1D8C4B66"/>
    <w:multiLevelType w:val="multilevel"/>
    <w:tmpl w:val="92C4EE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EB40F0E"/>
    <w:multiLevelType w:val="multilevel"/>
    <w:tmpl w:val="8B96884C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5">
    <w:nsid w:val="2F52115D"/>
    <w:multiLevelType w:val="multilevel"/>
    <w:tmpl w:val="932A5E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4734BAA"/>
    <w:multiLevelType w:val="multilevel"/>
    <w:tmpl w:val="0BCCF2E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7CA49DE"/>
    <w:multiLevelType w:val="multilevel"/>
    <w:tmpl w:val="277ABDE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04704A3"/>
    <w:multiLevelType w:val="multilevel"/>
    <w:tmpl w:val="06462E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5EC90EA3"/>
    <w:multiLevelType w:val="multilevel"/>
    <w:tmpl w:val="57E0A8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774F56A9"/>
    <w:multiLevelType w:val="multilevel"/>
    <w:tmpl w:val="9326999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oNotTrackMoves/>
  <w:defaultTabStop w:val="720"/>
  <w:characterSpacingControl w:val="doNotCompress"/>
  <w:compat/>
  <w:rsids>
    <w:rsidRoot w:val="00677C83"/>
    <w:rsid w:val="00677C83"/>
    <w:rsid w:val="00EF170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77C8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77C8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77C8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77C8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77C8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77C8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77C83"/>
  </w:style>
  <w:style w:type="paragraph" w:styleId="Title">
    <w:name w:val="Title"/>
    <w:basedOn w:val="normal0"/>
    <w:next w:val="normal0"/>
    <w:rsid w:val="00677C83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677C8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677C83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77C83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ttersofeducation.org/workshop_materials/spellman/" TargetMode="External"/><Relationship Id="rId6" Type="http://schemas.openxmlformats.org/officeDocument/2006/relationships/hyperlink" Target="https://www.teachervision.com/pro-dev/cooperative-learning/48531.htm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2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3332</Characters>
  <Application>Microsoft Macintosh Word</Application>
  <DocSecurity>0</DocSecurity>
  <Lines>27</Lines>
  <Paragraphs>6</Paragraphs>
  <ScaleCrop>false</ScaleCrop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Block</cp:lastModifiedBy>
  <cp:revision>2</cp:revision>
  <dcterms:created xsi:type="dcterms:W3CDTF">2015-12-11T14:07:00Z</dcterms:created>
  <dcterms:modified xsi:type="dcterms:W3CDTF">2015-12-11T14:07:00Z</dcterms:modified>
</cp:coreProperties>
</file>